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2738755</wp:posOffset>
            </wp:positionH>
            <wp:positionV relativeFrom="paragraph">
              <wp:posOffset>-350520</wp:posOffset>
            </wp:positionV>
            <wp:extent cx="720725" cy="8362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III Международная научно-практическая конференция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«Изучение водных и наземных экосистем: история и современность»</w:t>
      </w:r>
    </w:p>
    <w:p>
      <w:pPr>
        <w:pStyle w:val="Normal"/>
        <w:bidi w:val="0"/>
        <w:ind w:left="0" w:right="0" w:hanging="0"/>
        <w:jc w:val="center"/>
        <w:rPr/>
      </w:pPr>
      <w:r>
        <w:rPr/>
        <w:t>2–7 сентября 2024 г.</w:t>
      </w:r>
    </w:p>
    <w:p>
      <w:pPr>
        <w:pStyle w:val="Normal"/>
        <w:bidi w:val="0"/>
        <w:ind w:left="0" w:right="0" w:hanging="0"/>
        <w:jc w:val="center"/>
        <w:rPr/>
      </w:pPr>
      <w:r>
        <w:rPr/>
        <w:t>Севастополь, Россия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Правила оформления тезисов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Тезисы загружаются через </w:t>
      </w:r>
      <w:hyperlink r:id="rId3">
        <w:r>
          <w:rPr>
            <w:rStyle w:val="InternetLink"/>
          </w:rPr>
          <w:t>личный кабинет участника конференции</w:t>
        </w:r>
      </w:hyperlink>
      <w:r>
        <w:rPr/>
        <w:t xml:space="preserve"> в разделе доклады</w:t>
        <w:br/>
        <w:t>(</w:t>
      </w:r>
      <w:hyperlink r:id="rId4">
        <w:r>
          <w:rPr>
            <w:rStyle w:val="InternetLink"/>
            <w:lang w:val="en-US"/>
          </w:rPr>
          <w:t>https://conf-auth.ibss-ras.ru</w:t>
        </w:r>
      </w:hyperlink>
      <w:r>
        <w:rPr>
          <w:lang w:val="en-US"/>
        </w:rPr>
        <w:t>)</w:t>
      </w:r>
      <w:r>
        <w:rPr/>
        <w:t xml:space="preserve">. </w:t>
      </w:r>
      <w:r>
        <w:rPr>
          <w:lang w:val="ru-RU"/>
        </w:rPr>
        <w:t>Если вы уже заявили доклад в личном кабинете, то к нему можно подгрузить файл тезисов.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Объем тезисов: желательно до </w:t>
      </w:r>
      <w:r>
        <w:rPr>
          <w:lang w:val="en-US"/>
        </w:rPr>
        <w:t>1,5–2</w:t>
      </w:r>
      <w:r>
        <w:rPr/>
        <w:t xml:space="preserve"> страниц формата А4, включая список </w:t>
      </w:r>
      <w:r>
        <w:rPr>
          <w:lang w:val="ru-RU"/>
        </w:rPr>
        <w:t>литературы</w:t>
      </w:r>
      <w:r>
        <w:rPr/>
        <w:t>. Если вдруг получится чуть больше — не страшно.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Название тезисов: строчными буквами </w:t>
      </w:r>
      <w:r>
        <w:rPr>
          <w:lang w:val="en-US"/>
        </w:rPr>
        <w:t>(</w:t>
      </w:r>
      <w:r>
        <w:rPr>
          <w:lang w:val="ru-RU"/>
        </w:rPr>
        <w:t>не КАПСОМ</w:t>
      </w:r>
      <w:r>
        <w:rPr>
          <w:lang w:val="en-US"/>
        </w:rPr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Сведения об авторе (авторах): Ф. И. О. (инициалы указываются после фамилии). Если авторов два или более, то они перечисляются через запятую. Если авторы представляют разные организации, то после Ф. И. О. надстрочным знаком укажите цифру:</w:t>
        <w:br/>
        <w:t>Петров В. С.</w:t>
      </w:r>
      <w:r>
        <w:rPr>
          <w:vertAlign w:val="superscript"/>
        </w:rPr>
        <w:t>1</w:t>
      </w:r>
      <w:r>
        <w:rPr/>
        <w:t>, Антонов Б. Р.</w:t>
      </w:r>
      <w:r>
        <w:rPr>
          <w:vertAlign w:val="superscript"/>
        </w:rPr>
        <w:t>2,3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Сведения об организации (аффилиация). Надстрочный знак цифрой, соответствующей номеру организации, который стоит после Ф. И. О., затем полное наименование учреждения и его местонахождение (город). Если организаций несколько, укажите каждое из названий с новой строки.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en-US"/>
        </w:rPr>
      </w:pPr>
      <w:r>
        <w:rPr>
          <w:lang w:val="ru-RU"/>
        </w:rPr>
        <w:t>Обязательно укажите электронный адрес</w:t>
      </w:r>
      <w:r>
        <w:rPr>
          <w:lang w:val="en-US"/>
        </w:rPr>
        <w:t xml:space="preserve"> </w:t>
      </w:r>
      <w:r>
        <w:rPr>
          <w:lang w:val="ru-RU"/>
        </w:rPr>
        <w:t>одного из авторов для связи.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Ключевые слова: перечислите слова или короткие словосочетания через запятую.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Текст тезисов </w:t>
      </w:r>
      <w:r>
        <w:rPr>
          <w:b/>
          <w:bCs/>
        </w:rPr>
        <w:t>не делится</w:t>
      </w:r>
      <w:r>
        <w:rPr/>
        <w:t xml:space="preserve"> на разделы: </w:t>
      </w:r>
      <w:r>
        <w:rPr>
          <w:strike/>
        </w:rPr>
        <w:t>«Введение»</w:t>
      </w:r>
      <w:r>
        <w:rPr/>
        <w:t xml:space="preserve">, </w:t>
      </w:r>
      <w:r>
        <w:rPr>
          <w:strike/>
        </w:rPr>
        <w:t>«Материалы и методы»</w:t>
      </w:r>
      <w:r>
        <w:rPr/>
        <w:t xml:space="preserve">, </w:t>
      </w:r>
      <w:r>
        <w:rPr>
          <w:strike/>
        </w:rPr>
        <w:t>«Результаты»</w:t>
      </w:r>
      <w:r>
        <w:rPr/>
        <w:t xml:space="preserve"> и т. п.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Не включайте</w:t>
      </w:r>
      <w:r>
        <w:rPr/>
        <w:t>, по возможности, в текст тезисов таблицы и/или рисунки. Включайте, если только совсем без них никак.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Список литературы: в тексте тезисов на литературу необходимо ссылаться цифрами в квадратных скобках [1]. Допускается список литературы с небольшим  объёмом – до 5 источников. Библиографические ссылки постарайтесь оформить согласно ГОСТ 7.0.5-2008.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Финансирование: </w:t>
      </w:r>
      <w:r>
        <w:rPr>
          <w:b/>
          <w:bCs/>
          <w:u w:val="single"/>
        </w:rPr>
        <w:t>не забудьте указать</w:t>
      </w:r>
      <w:r>
        <w:rPr/>
        <w:t xml:space="preserve"> гранты/проекты/госзадания, в рамках которых выполнена работа. Лучше всего разместить сведения о финансировании в конце текста тезисов.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После списка литературы укажите название тезисов, авторов и аффилиации на английском языке. Это важно для корректности цитирования вашей работы.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Для удобства используйте пример оформления.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Тезисы публикуются в авторской редакции и должны быть тщательно выверены авторами. Ответственность за содержание тезисов несет автор. Оргкомитет оставляет за собой право их отклонения при несоответствии тематике конференции.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i/>
          <w:iCs/>
          <w:sz w:val="28"/>
          <w:szCs w:val="28"/>
        </w:rPr>
        <w:t>Будем рады видеть вас среди участников конференции</w:t>
        <w:br/>
        <w:t>в городе-герое Севастополе!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Мониторинг пузырьковых метановых газовыделений и гидрологических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параметров в бухте Ласпи (Крым)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Будников А. А.</w:t>
      </w:r>
      <w:r>
        <w:rPr>
          <w:rFonts w:cs="Times New Roman"/>
          <w:b/>
          <w:sz w:val="24"/>
          <w:szCs w:val="24"/>
          <w:vertAlign w:val="superscript"/>
        </w:rPr>
        <w:t>1*</w:t>
      </w:r>
      <w:r>
        <w:rPr>
          <w:rFonts w:cs="Times New Roman"/>
          <w:b/>
          <w:sz w:val="24"/>
          <w:szCs w:val="24"/>
        </w:rPr>
        <w:t>, Иванова И. Н.</w:t>
      </w:r>
      <w:r>
        <w:rPr>
          <w:rFonts w:cs="Times New Roman"/>
          <w:b/>
          <w:sz w:val="24"/>
          <w:szCs w:val="24"/>
          <w:vertAlign w:val="superscript"/>
        </w:rPr>
        <w:t>1</w:t>
      </w:r>
      <w:r>
        <w:rPr>
          <w:rFonts w:cs="Times New Roman"/>
          <w:b/>
          <w:sz w:val="24"/>
          <w:szCs w:val="24"/>
        </w:rPr>
        <w:t>, Хурчак А. И.</w:t>
      </w:r>
      <w:r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</w:rPr>
        <w:t>, Малахова Т. В.</w:t>
      </w:r>
      <w:r>
        <w:rPr>
          <w:rFonts w:cs="Times New Roman"/>
          <w:b/>
          <w:sz w:val="24"/>
          <w:szCs w:val="24"/>
          <w:vertAlign w:val="superscript"/>
        </w:rPr>
        <w:t>2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vertAlign w:val="superscript"/>
        </w:rPr>
        <w:t>1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 xml:space="preserve">Московский государственный университет имени М. В. Ломоносова, Москва, Россия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vertAlign w:val="superscript"/>
        </w:rPr>
        <w:t>2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ФИЦ «Институт биологии южных морей имени А. О. Ковалевского РАН», Севастополь, Россия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FTI1000" w:cs="Times New Roman"/>
          <w:i/>
          <w:i/>
          <w:sz w:val="24"/>
          <w:szCs w:val="24"/>
        </w:rPr>
      </w:pPr>
      <w:r>
        <w:rPr>
          <w:rFonts w:eastAsia="SFTI1000" w:cs="Times New Roman"/>
          <w:i/>
          <w:sz w:val="24"/>
          <w:szCs w:val="24"/>
          <w:vertAlign w:val="superscript"/>
        </w:rPr>
        <w:t>*</w:t>
      </w:r>
      <w:r>
        <w:rPr>
          <w:rFonts w:eastAsia="SFTI1000" w:cs="Times New Roman"/>
          <w:i/>
          <w:sz w:val="24"/>
          <w:szCs w:val="24"/>
          <w:lang w:val="en-US"/>
        </w:rPr>
        <w:t>researcher@ya.ru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FTI1000" w:cs="Times New Roman"/>
          <w:i/>
          <w:i/>
          <w:sz w:val="24"/>
          <w:szCs w:val="24"/>
        </w:rPr>
      </w:pPr>
      <w:r>
        <w:rPr>
          <w:rFonts w:eastAsia="SFTI1000" w:cs="Times New Roman"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Ключевые слова: метановые сипы, бухта Ласпи, пассивный акустический метод, содержание растворенного кислорода, сезонный мониторинг пузырьковых газовыделений.</w:t>
      </w:r>
    </w:p>
    <w:p>
      <w:pPr>
        <w:pStyle w:val="Normal"/>
        <w:bidi w:val="0"/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</w:r>
    </w:p>
    <w:p>
      <w:pPr>
        <w:pStyle w:val="Normal"/>
        <w:bidi w:val="0"/>
        <w:ind w:firstLine="709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Просачивания из морского дна легких углеводородов широко распространены на Черноморском шельфе. Пузырьковые газовыделения (сипы) наблюдаются в Черном море от глубин порядка 2 км [1, 2] и до самого берега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[3]</w:t>
      </w:r>
      <w:r>
        <w:rPr>
          <w:rFonts w:eastAsia="Times New Roman" w:cs="Times New Roman"/>
          <w:sz w:val="24"/>
          <w:szCs w:val="24"/>
          <w:lang w:eastAsia="ru-RU"/>
        </w:rPr>
        <w:t>. Выделяющийся газ в разных районах имеет различное происхождение (биогенное и термогенное), из-за чего интенсивность и периодичность газовыделений может различаться в зависимости от сезона, либо внешних условий [4].</w:t>
      </w:r>
    </w:p>
    <w:p>
      <w:pPr>
        <w:pStyle w:val="Normal"/>
        <w:bidi w:val="0"/>
        <w:ind w:firstLine="709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В бухте Ласпи (44.42099</w:t>
      </w:r>
      <w:r>
        <w:rPr>
          <w:rFonts w:eastAsia="Times New Roman" w:cs="Times New Roman"/>
          <w:b/>
          <w:sz w:val="24"/>
          <w:szCs w:val="24"/>
          <w:lang w:val="ru-RU" w:eastAsia="ru-RU"/>
        </w:rPr>
        <w:t>° </w:t>
      </w:r>
      <w:r>
        <w:rPr>
          <w:rFonts w:eastAsia="Times New Roman" w:cs="Times New Roman"/>
          <w:sz w:val="24"/>
          <w:szCs w:val="24"/>
          <w:lang w:eastAsia="ru-RU"/>
        </w:rPr>
        <w:t>N; 33.70766</w:t>
      </w:r>
      <w:r>
        <w:rPr>
          <w:rFonts w:eastAsia="Times New Roman" w:cs="Times New Roman"/>
          <w:b/>
          <w:sz w:val="24"/>
          <w:szCs w:val="24"/>
          <w:lang w:val="ru-RU" w:eastAsia="ru-RU"/>
        </w:rPr>
        <w:t>° </w:t>
      </w:r>
      <w:r>
        <w:rPr>
          <w:rFonts w:eastAsia="Times New Roman" w:cs="Times New Roman"/>
          <w:sz w:val="24"/>
          <w:szCs w:val="24"/>
          <w:lang w:eastAsia="ru-RU"/>
        </w:rPr>
        <w:t>E, Южное побережье Крыма) поднимающиеся недалеко от берега с глубины 1.5–2 м струйки пузырьков впервые обнаружил в августе 2004 г. Н. В. Шик. Площадь газовыделяющей области, на которой наблюдалось 8 отдельных точек выхода газа с различной частотой испускания пузырьков, тогда была оценена в 100–200 м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…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Работа выполнена в рамках государственного задания ФИЦ ИнБЮМ по теме «Изучение биогеохимических закономерностей радиоэкологических и хемоэкологических процессов в экосистемах водоемов Азово-Черноморского бассейна в сравнении с другими акваториями Мирового океана и отдельными водными экосистемами их водосборных бассейнов для обеспечения устойчивого развития на южных морях России» (№ гос. регистрации 124030100127-7).</w:t>
      </w:r>
    </w:p>
    <w:p>
      <w:pPr>
        <w:pStyle w:val="Normal"/>
        <w:bidi w:val="0"/>
        <w:spacing w:lineRule="auto" w:line="240" w:before="0" w:after="0"/>
        <w:ind w:firstLine="284"/>
        <w:jc w:val="both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284"/>
        <w:jc w:val="center"/>
        <w:rPr>
          <w:rFonts w:ascii="Times New Roman" w:hAnsi="Times New Roman" w:eastAsia="SFTI1000" w:cs="Times New Roman"/>
          <w:b/>
          <w:b/>
          <w:sz w:val="24"/>
          <w:szCs w:val="24"/>
        </w:rPr>
      </w:pPr>
      <w:r>
        <w:rPr>
          <w:rFonts w:eastAsia="SFTI1000" w:cs="Times New Roman"/>
          <w:b/>
          <w:sz w:val="24"/>
          <w:szCs w:val="24"/>
        </w:rPr>
        <w:t>Список литературы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  <w:lang w:val="ru-RU"/>
        </w:rPr>
        <w:t>Егоров В. Н., Артемов Ю. Г., Гулин С. Б. Метановые сипы в Чёрном море: средообразующая и экологическая роль / под ред. Г. Г. Поликарпова. Севастополь : ЭКОСИ-Гидрофизика, 2011. 405 с.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  <w:lang w:val="ru-RU"/>
        </w:rPr>
        <w:t>Леин А. Ю., Иванов М. В. Биогеохимический цикл метана в океане. Москва : Наука, 2009. 576 с.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  <w:lang w:val="ru-RU"/>
        </w:rPr>
        <w:t xml:space="preserve">Малахова Т. В., Егоров В. Н., Малахова Л. В., Артёмов Ю. Г., Пименов Н. В. Биогеохимические характеристики мелководных струйных метановых газовыделений в прибрежных районах Крыма в сравнении с глубоководными сипами Чёрного моря // Морской биологический журнал. 2020. Т. 5, № 4. С. 37-55. </w:t>
      </w:r>
      <w:hyperlink r:id="rId5">
        <w:r>
          <w:rPr>
            <w:rStyle w:val="InternetLink"/>
            <w:rFonts w:eastAsia="SFTI1000" w:cs="Times New Roman"/>
            <w:sz w:val="24"/>
            <w:szCs w:val="24"/>
            <w:lang w:val="ru-RU"/>
          </w:rPr>
          <w:t>https://doi.org/10.21072/mbj.2020.05.4.04</w:t>
        </w:r>
      </w:hyperlink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SFTI1000" w:cs="Times New Roman"/>
          <w:sz w:val="24"/>
          <w:szCs w:val="24"/>
        </w:rPr>
      </w:pPr>
      <w:r>
        <w:rPr>
          <w:b/>
          <w:bCs/>
        </w:rPr>
        <w:t>Monitoring of methane bubble emission and hydrological parameters in Laspi Bay (Crimea)</w:t>
      </w:r>
    </w:p>
    <w:p>
      <w:pPr>
        <w:pStyle w:val="ListParagraph"/>
        <w:bidi w:val="0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SFTI1000" w:cs="Times New Roman"/>
          <w:sz w:val="24"/>
          <w:szCs w:val="24"/>
        </w:rPr>
      </w:pPr>
      <w:r>
        <w:rPr>
          <w:rFonts w:eastAsia="SFTI1000" w:cs="Times New Roman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SFTI1000" w:cs="Times New Roman"/>
          <w:sz w:val="24"/>
          <w:szCs w:val="24"/>
        </w:rPr>
      </w:pPr>
      <w:r>
        <w:rPr>
          <w:b/>
          <w:bCs/>
        </w:rPr>
        <w:t>Budnikov A. A.</w:t>
      </w:r>
      <w:r>
        <w:rPr>
          <w:b/>
          <w:bCs/>
          <w:vertAlign w:val="superscript"/>
        </w:rPr>
        <w:t>1*</w:t>
      </w:r>
      <w:r>
        <w:rPr>
          <w:b/>
          <w:bCs/>
        </w:rPr>
        <w:t>, Ivanova I. N.</w:t>
      </w:r>
      <w:r>
        <w:rPr>
          <w:b/>
          <w:bCs/>
          <w:vertAlign w:val="superscript"/>
        </w:rPr>
        <w:t>1</w:t>
      </w:r>
      <w:r>
        <w:rPr>
          <w:b/>
          <w:bCs/>
        </w:rPr>
        <w:t>, Khurchak A. I.</w:t>
      </w:r>
      <w:r>
        <w:rPr>
          <w:b/>
          <w:bCs/>
          <w:vertAlign w:val="superscript"/>
        </w:rPr>
        <w:t>2</w:t>
      </w:r>
      <w:r>
        <w:rPr>
          <w:b/>
          <w:bCs/>
        </w:rPr>
        <w:t>, Malakhova T. V.</w:t>
      </w:r>
      <w:r>
        <w:rPr>
          <w:b/>
          <w:bCs/>
          <w:vertAlign w:val="superscript"/>
        </w:rPr>
        <w:t>2</w:t>
      </w:r>
    </w:p>
    <w:p>
      <w:pPr>
        <w:pStyle w:val="ListParagraph"/>
        <w:bidi w:val="0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SFTI1000" w:cs="Times New Roman"/>
          <w:sz w:val="24"/>
          <w:szCs w:val="24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Lomonosov Moscow State University, Moscow, Russia</w:t>
      </w:r>
    </w:p>
    <w:p>
      <w:pPr>
        <w:pStyle w:val="ListParagraph"/>
        <w:bidi w:val="0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SFTI1000" w:cs="Times New Roman"/>
          <w:sz w:val="24"/>
          <w:szCs w:val="24"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A. O. Kovalevsky Institute of Biology of the Southern Seas of RAS, Sevastopol, Russia</w:t>
      </w:r>
    </w:p>
    <w:p>
      <w:pPr>
        <w:pStyle w:val="Normal"/>
        <w:bidi w:val="0"/>
        <w:spacing w:lineRule="auto" w:line="240" w:before="0" w:after="0"/>
        <w:ind w:hanging="0"/>
        <w:jc w:val="center"/>
        <w:rPr>
          <w:rFonts w:ascii="Times New Roman" w:hAnsi="Times New Roman" w:eastAsia="SFTI1000" w:cs="Times New Roman"/>
          <w:i/>
          <w:i/>
          <w:sz w:val="24"/>
          <w:szCs w:val="24"/>
        </w:rPr>
      </w:pPr>
      <w:r>
        <w:rPr>
          <w:rFonts w:eastAsia="SFTI1000" w:cs="Times New Roman"/>
          <w:i/>
          <w:sz w:val="24"/>
          <w:szCs w:val="24"/>
          <w:vertAlign w:val="superscript"/>
        </w:rPr>
        <w:t>*</w:t>
      </w:r>
      <w:r>
        <w:rPr>
          <w:rFonts w:eastAsia="SFTI1000" w:cs="Times New Roman"/>
          <w:i/>
          <w:sz w:val="24"/>
          <w:szCs w:val="24"/>
          <w:lang w:val="en-US"/>
        </w:rPr>
        <w:t>researcher@ya.ru</w:t>
      </w:r>
    </w:p>
    <w:sectPr>
      <w:headerReference w:type="default" r:id="rId6"/>
      <w:headerReference w:type="first" r:id="rId7"/>
      <w:type w:val="nextPage"/>
      <w:pgSz w:w="11906" w:h="16838"/>
      <w:pgMar w:left="1134" w:right="1134" w:gutter="0" w:header="1134" w:top="159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b/>
        <w:b/>
        <w:bCs/>
        <w:color w:val="CCCCCC"/>
        <w:sz w:val="40"/>
        <w:szCs w:val="40"/>
        <w:highlight w:val="none"/>
        <w:shd w:fill="auto" w:val="clear"/>
      </w:rPr>
    </w:pPr>
    <w:r>
      <w:rPr>
        <w:b/>
        <w:bCs/>
        <w:color w:val="CCCCCC"/>
        <w:sz w:val="40"/>
        <w:szCs w:val="40"/>
        <w:shd w:fill="auto" w:val="clear"/>
      </w:rPr>
      <w:t>Образец оформления тезисов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nf-auth.ibss-ras.ru/" TargetMode="External"/><Relationship Id="rId4" Type="http://schemas.openxmlformats.org/officeDocument/2006/relationships/hyperlink" Target="https://conf-auth.ibss-ras.ru/" TargetMode="External"/><Relationship Id="rId5" Type="http://schemas.openxmlformats.org/officeDocument/2006/relationships/hyperlink" Target="https://doi.org/10.21072/mbj.2020.05.4.04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LibreOffice/7.3.2.2$Windows_X86_64 LibreOffice_project/49f2b1bff42cfccbd8f788c8dc32c1c309559be0</Application>
  <AppVersion>15.0000</AppVersion>
  <Pages>2</Pages>
  <Words>685</Words>
  <Characters>4379</Characters>
  <CharactersWithSpaces>5011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2024-04-15T13:48:38Z</dcterms:created>
  <dc:creator/>
  <dc:description/>
  <dc:language>ru-RU</dc:language>
  <cp:lastModifiedBy/>
  <cp:lastPrinted>2024-04-15T15:18:31Z</cp:lastPrinted>
  <dcterms:modified xsi:type="dcterms:W3CDTF">2024-04-19T08:29:38Z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